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D3" w:rsidRDefault="002C047C" w:rsidP="00057BB5">
      <w:pPr>
        <w:rPr>
          <w:rFonts w:ascii="Times New Roman" w:hAnsi="Times New Roman"/>
          <w:b/>
          <w:sz w:val="24"/>
          <w:szCs w:val="24"/>
        </w:rPr>
      </w:pPr>
      <w:r w:rsidRPr="004F7A97">
        <w:rPr>
          <w:rFonts w:ascii="Times New Roman" w:hAnsi="Times New Roman"/>
          <w:b/>
          <w:sz w:val="24"/>
          <w:szCs w:val="24"/>
        </w:rPr>
        <w:t>WYKAZ NIERUCHOMOŚCI STANOWIĄCYCH WŁASNOŚĆ GMINY STEGNA PRZEZNACZONYCH DO SPRZEDAŻY</w:t>
      </w:r>
      <w:r w:rsidR="006B665B">
        <w:rPr>
          <w:rFonts w:ascii="Times New Roman" w:hAnsi="Times New Roman"/>
          <w:b/>
          <w:sz w:val="24"/>
          <w:szCs w:val="24"/>
        </w:rPr>
        <w:t xml:space="preserve"> I DZIERŻAWY</w:t>
      </w:r>
    </w:p>
    <w:p w:rsidR="00F91743" w:rsidRPr="00B75253" w:rsidRDefault="00960512" w:rsidP="00B752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GPN-N</w:t>
      </w:r>
      <w:r w:rsidR="00F91743">
        <w:rPr>
          <w:rFonts w:ascii="Times New Roman" w:hAnsi="Times New Roman"/>
          <w:b/>
          <w:sz w:val="24"/>
          <w:szCs w:val="24"/>
        </w:rPr>
        <w:t>.684</w:t>
      </w:r>
      <w:r w:rsidR="00057BB5">
        <w:rPr>
          <w:rFonts w:ascii="Times New Roman" w:hAnsi="Times New Roman"/>
          <w:b/>
          <w:sz w:val="24"/>
          <w:szCs w:val="24"/>
        </w:rPr>
        <w:t>0.1.1</w:t>
      </w:r>
      <w:r>
        <w:rPr>
          <w:rFonts w:ascii="Times New Roman" w:hAnsi="Times New Roman"/>
          <w:b/>
          <w:sz w:val="24"/>
          <w:szCs w:val="24"/>
        </w:rPr>
        <w:t>3</w:t>
      </w:r>
      <w:r w:rsidR="00B75253">
        <w:rPr>
          <w:rFonts w:ascii="Times New Roman" w:hAnsi="Times New Roman"/>
          <w:b/>
          <w:sz w:val="24"/>
          <w:szCs w:val="24"/>
        </w:rPr>
        <w:t>.2013</w:t>
      </w:r>
    </w:p>
    <w:tbl>
      <w:tblPr>
        <w:tblpPr w:leftFromText="141" w:rightFromText="141" w:vertAnchor="page" w:horzAnchor="margin" w:tblpXSpec="right" w:tblpY="3346"/>
        <w:tblW w:w="15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1050"/>
        <w:gridCol w:w="1907"/>
        <w:gridCol w:w="1040"/>
        <w:gridCol w:w="2863"/>
        <w:gridCol w:w="2260"/>
        <w:gridCol w:w="1955"/>
        <w:gridCol w:w="3444"/>
      </w:tblGrid>
      <w:tr w:rsidR="007A2262" w:rsidRPr="00C55A8C" w:rsidTr="00B37AA9">
        <w:trPr>
          <w:trHeight w:val="837"/>
        </w:trPr>
        <w:tc>
          <w:tcPr>
            <w:tcW w:w="561" w:type="dxa"/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60" w:type="dxa"/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Nr działki</w:t>
            </w:r>
          </w:p>
        </w:tc>
        <w:tc>
          <w:tcPr>
            <w:tcW w:w="1749" w:type="dxa"/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C">
              <w:rPr>
                <w:rFonts w:ascii="Arial" w:hAnsi="Arial" w:cs="Arial"/>
                <w:b/>
                <w:sz w:val="20"/>
                <w:szCs w:val="20"/>
              </w:rPr>
              <w:t>Księgi Wieczyste</w:t>
            </w:r>
          </w:p>
        </w:tc>
        <w:tc>
          <w:tcPr>
            <w:tcW w:w="1049" w:type="dxa"/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C">
              <w:rPr>
                <w:rFonts w:ascii="Arial" w:hAnsi="Arial" w:cs="Arial"/>
                <w:b/>
                <w:sz w:val="20"/>
                <w:szCs w:val="20"/>
              </w:rPr>
              <w:t>Pow. w ha</w:t>
            </w:r>
          </w:p>
        </w:tc>
        <w:tc>
          <w:tcPr>
            <w:tcW w:w="2904" w:type="dxa"/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C">
              <w:rPr>
                <w:rFonts w:ascii="Arial" w:hAnsi="Arial" w:cs="Arial"/>
                <w:b/>
                <w:sz w:val="20"/>
                <w:szCs w:val="20"/>
              </w:rPr>
              <w:t>Opis nieruchomości i przeznaczenie</w:t>
            </w:r>
          </w:p>
        </w:tc>
        <w:tc>
          <w:tcPr>
            <w:tcW w:w="2286" w:type="dxa"/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C">
              <w:rPr>
                <w:rFonts w:ascii="Arial" w:hAnsi="Arial" w:cs="Arial"/>
                <w:b/>
                <w:sz w:val="20"/>
                <w:szCs w:val="20"/>
              </w:rPr>
              <w:t>Wartość nieruchomości w zł, terminy i warunki zapłaty</w:t>
            </w:r>
          </w:p>
        </w:tc>
        <w:tc>
          <w:tcPr>
            <w:tcW w:w="1968" w:type="dxa"/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C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3514" w:type="dxa"/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C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A2262" w:rsidRPr="00C55A8C" w:rsidTr="00B37AA9">
        <w:trPr>
          <w:trHeight w:val="2382"/>
        </w:trPr>
        <w:tc>
          <w:tcPr>
            <w:tcW w:w="561" w:type="dxa"/>
            <w:tcBorders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7A2262" w:rsidRPr="00C55A8C" w:rsidRDefault="00D41D65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1595/4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GD2M/000</w:t>
            </w:r>
            <w:r w:rsidR="00D41D65" w:rsidRPr="00C55A8C">
              <w:rPr>
                <w:rFonts w:ascii="Arial" w:hAnsi="Arial" w:cs="Arial"/>
                <w:sz w:val="20"/>
                <w:szCs w:val="20"/>
              </w:rPr>
              <w:t>50413/9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0,</w:t>
            </w:r>
            <w:r w:rsidR="00D41D65" w:rsidRPr="00C55A8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 xml:space="preserve">Działka niezabudowana, o kształcie zbliżonym do prostokąta, </w:t>
            </w:r>
            <w:r w:rsidR="00D41D65" w:rsidRPr="00C55A8C">
              <w:rPr>
                <w:rFonts w:ascii="Arial" w:hAnsi="Arial" w:cs="Arial"/>
                <w:sz w:val="20"/>
                <w:szCs w:val="20"/>
              </w:rPr>
              <w:t>położona w obszarze uzbrojonym w media komunalne tj. droga dojazdowa utwardzona, energi</w:t>
            </w:r>
            <w:r w:rsidR="006B665B" w:rsidRPr="00C55A8C">
              <w:rPr>
                <w:rFonts w:ascii="Arial" w:hAnsi="Arial" w:cs="Arial"/>
                <w:sz w:val="20"/>
                <w:szCs w:val="20"/>
              </w:rPr>
              <w:t>a elektryczna, woda z wodociągu, kanalizacja do oczyszczalni ścieków</w:t>
            </w:r>
            <w:r w:rsidRPr="00C55A8C">
              <w:rPr>
                <w:rFonts w:ascii="Arial" w:hAnsi="Arial" w:cs="Arial"/>
                <w:sz w:val="20"/>
                <w:szCs w:val="20"/>
              </w:rPr>
              <w:t>, w m.p.z.p. działka przeznaczona  pod zabudowę mieszkaniową jednorodzinną</w:t>
            </w:r>
            <w:r w:rsidR="006B665B" w:rsidRPr="00C55A8C">
              <w:rPr>
                <w:rFonts w:ascii="Arial" w:hAnsi="Arial" w:cs="Arial"/>
                <w:sz w:val="20"/>
                <w:szCs w:val="20"/>
              </w:rPr>
              <w:t xml:space="preserve"> wolnostojącą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A2262" w:rsidRPr="00C55A8C" w:rsidRDefault="00D41D65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149.0</w:t>
            </w:r>
            <w:r w:rsidR="007A2262" w:rsidRPr="00C55A8C">
              <w:rPr>
                <w:rFonts w:ascii="Arial" w:hAnsi="Arial" w:cs="Arial"/>
                <w:sz w:val="20"/>
                <w:szCs w:val="20"/>
              </w:rPr>
              <w:t>00,00 zł – płatna w całości przed podpisaniem aktu notarialnego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A2262" w:rsidRPr="00C55A8C" w:rsidRDefault="006B665B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 xml:space="preserve">Stegna </w:t>
            </w:r>
            <w:r w:rsidR="004F7559" w:rsidRPr="00C55A8C">
              <w:rPr>
                <w:rFonts w:ascii="Arial" w:hAnsi="Arial" w:cs="Arial"/>
                <w:sz w:val="20"/>
                <w:szCs w:val="20"/>
              </w:rPr>
              <w:t xml:space="preserve">, lewa strona </w:t>
            </w:r>
            <w:r w:rsidRPr="00C55A8C">
              <w:rPr>
                <w:rFonts w:ascii="Arial" w:hAnsi="Arial" w:cs="Arial"/>
                <w:sz w:val="20"/>
                <w:szCs w:val="20"/>
              </w:rPr>
              <w:t>ulicy Powstańców Warszawy</w:t>
            </w:r>
            <w:r w:rsidR="004F7559" w:rsidRPr="00C55A8C">
              <w:rPr>
                <w:rFonts w:ascii="Arial" w:hAnsi="Arial" w:cs="Arial"/>
                <w:sz w:val="20"/>
                <w:szCs w:val="20"/>
              </w:rPr>
              <w:t xml:space="preserve"> przed skrzyżowaniem z ulicą Kopernika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 xml:space="preserve">Nabywca zostanie wyłoniony w trybie </w:t>
            </w:r>
            <w:r w:rsidR="004F7559" w:rsidRPr="00C55A8C">
              <w:rPr>
                <w:rFonts w:ascii="Arial" w:hAnsi="Arial" w:cs="Arial"/>
                <w:sz w:val="20"/>
                <w:szCs w:val="20"/>
              </w:rPr>
              <w:t xml:space="preserve">przetargu nieograniczonego 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. Do wylicytowanej ceny w przetargu zostanie doliczony podatek VAT w wys. 23%.  Nieruchomość </w:t>
            </w:r>
            <w:r w:rsidRPr="00C55A8C"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Pr="00C55A8C">
              <w:rPr>
                <w:rFonts w:ascii="Arial" w:hAnsi="Arial" w:cs="Arial"/>
                <w:bCs/>
                <w:sz w:val="20"/>
                <w:szCs w:val="20"/>
              </w:rPr>
              <w:t>obciążona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  prawem na </w:t>
            </w:r>
            <w:r w:rsidRPr="00C55A8C">
              <w:rPr>
                <w:rFonts w:ascii="Arial" w:hAnsi="Arial" w:cs="Arial"/>
                <w:bCs/>
                <w:sz w:val="20"/>
                <w:szCs w:val="20"/>
              </w:rPr>
              <w:t>rzecz osób trzecich.</w:t>
            </w:r>
          </w:p>
        </w:tc>
      </w:tr>
      <w:tr w:rsidR="007A2262" w:rsidRPr="00C55A8C" w:rsidTr="00B37AA9">
        <w:trPr>
          <w:trHeight w:val="234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2E57A1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1595/2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GD2M/0005</w:t>
            </w:r>
            <w:r w:rsidR="002E57A1" w:rsidRPr="00C55A8C">
              <w:rPr>
                <w:rFonts w:ascii="Arial" w:hAnsi="Arial" w:cs="Arial"/>
                <w:sz w:val="20"/>
                <w:szCs w:val="20"/>
              </w:rPr>
              <w:t>0413/9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2E57A1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0,1023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702877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Działka niezabudowana, o kształcie zbliżonym do prostokąta, położona w obszarze uzbrojonym w media komunalne tj. droga dojazdowa utwardzona, energia elektryczna, woda z wodociągu, kanalizacja do oczyszczalni ścieków, w m.p.z.p. działka przeznaczona  pod zabudowę mieszkaniową jednorodzinną wolnostojącą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702877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153.0</w:t>
            </w:r>
            <w:r w:rsidR="007A2262" w:rsidRPr="00C55A8C">
              <w:rPr>
                <w:rFonts w:ascii="Arial" w:hAnsi="Arial" w:cs="Arial"/>
                <w:sz w:val="20"/>
                <w:szCs w:val="20"/>
              </w:rPr>
              <w:t>00,00 zł - płatna w całości przed podpisaniem aktu notarialnego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702877" w:rsidRPr="00C55A8C" w:rsidRDefault="004F7559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Stegna , lewa strona ulicy Powstańców Warszawy przed skrzyżowaniem z ulicą Kopernika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 xml:space="preserve">Nabywca zostanie wyłoniony w trybie </w:t>
            </w:r>
            <w:r w:rsidR="004F7559" w:rsidRPr="00C55A8C">
              <w:rPr>
                <w:rFonts w:ascii="Arial" w:hAnsi="Arial" w:cs="Arial"/>
                <w:sz w:val="20"/>
                <w:szCs w:val="20"/>
              </w:rPr>
              <w:t xml:space="preserve">przetargu nieograniczonym 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. Do wylicytowanej ceny w przetargu zostanie doliczony podatek VAT w wys. 23%.  Nieruchomość </w:t>
            </w:r>
            <w:r w:rsidRPr="00C55A8C"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Pr="00C55A8C">
              <w:rPr>
                <w:rFonts w:ascii="Arial" w:hAnsi="Arial" w:cs="Arial"/>
                <w:bCs/>
                <w:sz w:val="20"/>
                <w:szCs w:val="20"/>
              </w:rPr>
              <w:t>obciążona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  prawem na </w:t>
            </w:r>
            <w:r w:rsidRPr="00C55A8C">
              <w:rPr>
                <w:rFonts w:ascii="Arial" w:hAnsi="Arial" w:cs="Arial"/>
                <w:bCs/>
                <w:sz w:val="20"/>
                <w:szCs w:val="20"/>
              </w:rPr>
              <w:t>rzecz osób trzecich.</w:t>
            </w:r>
            <w:r w:rsidR="00666CA3">
              <w:rPr>
                <w:rFonts w:ascii="Arial" w:hAnsi="Arial" w:cs="Arial"/>
                <w:bCs/>
                <w:sz w:val="20"/>
                <w:szCs w:val="20"/>
              </w:rPr>
              <w:t xml:space="preserve"> Na działce znajduje się zaczopowany odwiert.</w:t>
            </w:r>
          </w:p>
        </w:tc>
      </w:tr>
      <w:tr w:rsidR="007A2262" w:rsidRPr="00C55A8C" w:rsidTr="00B37AA9">
        <w:trPr>
          <w:trHeight w:val="211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C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3037D6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365/1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GD2M/000</w:t>
            </w:r>
            <w:r w:rsidR="003037D6" w:rsidRPr="00C55A8C">
              <w:rPr>
                <w:rFonts w:ascii="Arial" w:hAnsi="Arial" w:cs="Arial"/>
                <w:sz w:val="20"/>
                <w:szCs w:val="20"/>
              </w:rPr>
              <w:t>48720/7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0,0</w:t>
            </w:r>
            <w:r w:rsidR="003037D6" w:rsidRPr="00C55A8C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3037D6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 xml:space="preserve">Działka </w:t>
            </w:r>
            <w:r w:rsidR="000D632E" w:rsidRPr="00C55A8C">
              <w:rPr>
                <w:rFonts w:ascii="Arial" w:hAnsi="Arial" w:cs="Arial"/>
                <w:sz w:val="20"/>
                <w:szCs w:val="20"/>
              </w:rPr>
              <w:t>nie</w:t>
            </w:r>
            <w:r w:rsidRPr="00C55A8C">
              <w:rPr>
                <w:rFonts w:ascii="Arial" w:hAnsi="Arial" w:cs="Arial"/>
                <w:sz w:val="20"/>
                <w:szCs w:val="20"/>
              </w:rPr>
              <w:t>zabudowana, o kształcie nieregularnym,  położona w obszarze uzbrojonym w media komunalne tj. energia elektryczna, woda z wodociągu, kanalizacja sanitarna, w studium uwarunkowań i kierunków zagospodarowania</w:t>
            </w:r>
            <w:r w:rsidR="00BE064C" w:rsidRPr="00C55A8C">
              <w:rPr>
                <w:rFonts w:ascii="Arial" w:hAnsi="Arial" w:cs="Arial"/>
                <w:sz w:val="20"/>
                <w:szCs w:val="20"/>
              </w:rPr>
              <w:t xml:space="preserve"> przestrzennego działka przeznaczona na cele osadnicze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3037D6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16.100,0</w:t>
            </w:r>
            <w:r w:rsidR="007A2262" w:rsidRPr="00C55A8C">
              <w:rPr>
                <w:rFonts w:ascii="Arial" w:hAnsi="Arial" w:cs="Arial"/>
                <w:sz w:val="20"/>
                <w:szCs w:val="20"/>
              </w:rPr>
              <w:t>0 zł -  płatna w całości przed podpisaniem aktu notarialnego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BE064C" w:rsidP="00D66E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Stegna</w:t>
            </w:r>
            <w:r w:rsidR="007A2262" w:rsidRPr="00C55A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66E58" w:rsidRPr="00C55A8C">
              <w:rPr>
                <w:rFonts w:ascii="Arial" w:hAnsi="Arial" w:cs="Arial"/>
                <w:sz w:val="20"/>
                <w:szCs w:val="20"/>
              </w:rPr>
              <w:t>działka położona przy skrzyżowaniu ulic Sikorskiego i Powstańców Warszawy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F13F8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 xml:space="preserve">Nabywca został </w:t>
            </w:r>
            <w:r w:rsidR="007A2262" w:rsidRPr="00C55A8C">
              <w:rPr>
                <w:rFonts w:ascii="Arial" w:hAnsi="Arial" w:cs="Arial"/>
                <w:sz w:val="20"/>
                <w:szCs w:val="20"/>
              </w:rPr>
              <w:t xml:space="preserve">wyłoniony w trybie </w:t>
            </w:r>
            <w:r w:rsidR="004F7559" w:rsidRPr="00C55A8C">
              <w:rPr>
                <w:rFonts w:ascii="Arial" w:hAnsi="Arial" w:cs="Arial"/>
                <w:sz w:val="20"/>
                <w:szCs w:val="20"/>
              </w:rPr>
              <w:t>bez przetargowym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 Do wylicytowanej ceny </w:t>
            </w:r>
            <w:r w:rsidR="007A2262" w:rsidRPr="00C55A8C">
              <w:rPr>
                <w:rFonts w:ascii="Arial" w:hAnsi="Arial" w:cs="Arial"/>
                <w:sz w:val="20"/>
                <w:szCs w:val="20"/>
              </w:rPr>
              <w:t xml:space="preserve">zostanie doliczony podatek VAT w wys. 23%.  Nieruchomość </w:t>
            </w:r>
            <w:r w:rsidR="007A2262" w:rsidRPr="00C55A8C"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 w:rsidR="007A2262" w:rsidRPr="00C55A8C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="007A2262" w:rsidRPr="00C55A8C">
              <w:rPr>
                <w:rFonts w:ascii="Arial" w:hAnsi="Arial" w:cs="Arial"/>
                <w:bCs/>
                <w:sz w:val="20"/>
                <w:szCs w:val="20"/>
              </w:rPr>
              <w:t>obciążona</w:t>
            </w:r>
            <w:r w:rsidR="007A2262" w:rsidRPr="00C55A8C">
              <w:rPr>
                <w:rFonts w:ascii="Arial" w:hAnsi="Arial" w:cs="Arial"/>
                <w:sz w:val="20"/>
                <w:szCs w:val="20"/>
              </w:rPr>
              <w:t xml:space="preserve">  prawem na </w:t>
            </w:r>
            <w:r w:rsidR="007A2262" w:rsidRPr="00C55A8C">
              <w:rPr>
                <w:rFonts w:ascii="Arial" w:hAnsi="Arial" w:cs="Arial"/>
                <w:bCs/>
                <w:sz w:val="20"/>
                <w:szCs w:val="20"/>
              </w:rPr>
              <w:t>rzecz osób trzecich.</w:t>
            </w:r>
          </w:p>
        </w:tc>
      </w:tr>
      <w:tr w:rsidR="007A2262" w:rsidRPr="00C55A8C" w:rsidTr="00B37AA9">
        <w:trPr>
          <w:trHeight w:val="188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C10831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639/1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GD2M/000</w:t>
            </w:r>
            <w:r w:rsidR="00C10831" w:rsidRPr="00C55A8C">
              <w:rPr>
                <w:rFonts w:ascii="Arial" w:hAnsi="Arial" w:cs="Arial"/>
                <w:sz w:val="20"/>
                <w:szCs w:val="20"/>
              </w:rPr>
              <w:t>43334/9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0,0</w:t>
            </w:r>
            <w:r w:rsidR="00C10831" w:rsidRPr="00C55A8C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7A226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 xml:space="preserve">Działka niezabudowana,  o kształcie </w:t>
            </w:r>
            <w:r w:rsidR="00C10831" w:rsidRPr="00C55A8C">
              <w:rPr>
                <w:rFonts w:ascii="Arial" w:hAnsi="Arial" w:cs="Arial"/>
                <w:sz w:val="20"/>
                <w:szCs w:val="20"/>
              </w:rPr>
              <w:t xml:space="preserve">nieregularnego 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prostokąta, </w:t>
            </w:r>
            <w:r w:rsidR="000E5047" w:rsidRPr="00C55A8C">
              <w:rPr>
                <w:rFonts w:ascii="Arial" w:hAnsi="Arial" w:cs="Arial"/>
                <w:sz w:val="20"/>
                <w:szCs w:val="20"/>
              </w:rPr>
              <w:t xml:space="preserve">położona w obszarze uzbrojonym w media komunalne tj. energia elektryczna, woda, </w:t>
            </w:r>
            <w:r w:rsidRPr="00C55A8C">
              <w:rPr>
                <w:rFonts w:ascii="Arial" w:hAnsi="Arial" w:cs="Arial"/>
                <w:sz w:val="20"/>
                <w:szCs w:val="20"/>
              </w:rPr>
              <w:t>w</w:t>
            </w:r>
            <w:r w:rsidR="000E5047" w:rsidRPr="00C55A8C">
              <w:rPr>
                <w:rFonts w:ascii="Arial" w:hAnsi="Arial" w:cs="Arial"/>
                <w:sz w:val="20"/>
                <w:szCs w:val="20"/>
              </w:rPr>
              <w:t xml:space="preserve"> studium uwarunkowań i kierunków zagospodarowania przestrzennego </w:t>
            </w:r>
            <w:r w:rsidRPr="00C55A8C">
              <w:rPr>
                <w:rFonts w:ascii="Arial" w:hAnsi="Arial" w:cs="Arial"/>
                <w:sz w:val="20"/>
                <w:szCs w:val="20"/>
              </w:rPr>
              <w:t>działka przeznaczona</w:t>
            </w:r>
            <w:r w:rsidR="000041EC" w:rsidRPr="00C55A8C">
              <w:rPr>
                <w:rFonts w:ascii="Arial" w:hAnsi="Arial" w:cs="Arial"/>
                <w:sz w:val="20"/>
                <w:szCs w:val="20"/>
              </w:rPr>
              <w:t xml:space="preserve"> na cele osadnicze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C10831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61</w:t>
            </w:r>
            <w:r w:rsidR="007A2262" w:rsidRPr="00C55A8C">
              <w:rPr>
                <w:rFonts w:ascii="Arial" w:hAnsi="Arial" w:cs="Arial"/>
                <w:sz w:val="20"/>
                <w:szCs w:val="20"/>
              </w:rPr>
              <w:t>.000,00 zł -  płatna w całości przed podpisaniem aktu notarialnego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C10831" w:rsidP="00D66E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Stegna</w:t>
            </w:r>
            <w:r w:rsidR="007A2262" w:rsidRPr="00C55A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66E58" w:rsidRPr="00C55A8C">
              <w:rPr>
                <w:rFonts w:ascii="Arial" w:hAnsi="Arial" w:cs="Arial"/>
                <w:sz w:val="20"/>
                <w:szCs w:val="20"/>
              </w:rPr>
              <w:t xml:space="preserve">działka położona po lewej stronie ulicy Gdańskiej za ostatnim budynkiem w kierunku miejscowości Sztutowo 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7A2262" w:rsidRPr="00C55A8C" w:rsidRDefault="00F13F8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 xml:space="preserve">Nabywca został </w:t>
            </w:r>
            <w:r w:rsidR="004F7559" w:rsidRPr="00C55A8C">
              <w:rPr>
                <w:rFonts w:ascii="Arial" w:hAnsi="Arial" w:cs="Arial"/>
                <w:sz w:val="20"/>
                <w:szCs w:val="20"/>
              </w:rPr>
              <w:t xml:space="preserve">wyłoniony w trybie bez przetargowym.  Nieruchomość </w:t>
            </w:r>
            <w:r w:rsidR="004F7559" w:rsidRPr="00C55A8C"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 w:rsidR="004F7559" w:rsidRPr="00C55A8C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="004F7559" w:rsidRPr="00C55A8C">
              <w:rPr>
                <w:rFonts w:ascii="Arial" w:hAnsi="Arial" w:cs="Arial"/>
                <w:bCs/>
                <w:sz w:val="20"/>
                <w:szCs w:val="20"/>
              </w:rPr>
              <w:t>obciążona</w:t>
            </w:r>
            <w:r w:rsidR="004F7559" w:rsidRPr="00C55A8C">
              <w:rPr>
                <w:rFonts w:ascii="Arial" w:hAnsi="Arial" w:cs="Arial"/>
                <w:sz w:val="20"/>
                <w:szCs w:val="20"/>
              </w:rPr>
              <w:t xml:space="preserve">  prawem na </w:t>
            </w:r>
            <w:r w:rsidR="004F7559" w:rsidRPr="00C55A8C">
              <w:rPr>
                <w:rFonts w:ascii="Arial" w:hAnsi="Arial" w:cs="Arial"/>
                <w:bCs/>
                <w:sz w:val="20"/>
                <w:szCs w:val="20"/>
              </w:rPr>
              <w:t xml:space="preserve">rzecz osób trzecich. </w:t>
            </w:r>
          </w:p>
        </w:tc>
      </w:tr>
      <w:tr w:rsidR="00C10831" w:rsidRPr="00C55A8C" w:rsidTr="00B37AA9">
        <w:trPr>
          <w:trHeight w:val="218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10831" w:rsidRPr="00C55A8C" w:rsidRDefault="00C10831" w:rsidP="00B37A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C10831" w:rsidRPr="00C55A8C" w:rsidRDefault="00CD6196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223/7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10831" w:rsidRPr="00C55A8C" w:rsidRDefault="00CD6196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GD2M/00041604/9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10831" w:rsidRPr="00C55A8C" w:rsidRDefault="00CD6196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0,5659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C10831" w:rsidRPr="00C55A8C" w:rsidRDefault="009241FB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Lokal o powierzchni 93,50m</w:t>
            </w:r>
            <w:r w:rsidRPr="00C55A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 oraz pomieszczenia przyległe do lokalu o powierzchni 42.30m</w:t>
            </w:r>
            <w:r w:rsidRPr="00C55A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 </w:t>
            </w:r>
            <w:r w:rsidRPr="00C55A8C">
              <w:rPr>
                <w:rFonts w:ascii="Arial" w:hAnsi="Arial" w:cs="Arial"/>
                <w:sz w:val="20"/>
                <w:szCs w:val="20"/>
              </w:rPr>
              <w:t>przeznaczone na prowadzenie usług medycznych.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C10831" w:rsidRPr="00C55A8C" w:rsidRDefault="002E6AA7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C</w:t>
            </w:r>
            <w:r w:rsidR="004D3E71" w:rsidRPr="00C55A8C">
              <w:rPr>
                <w:rFonts w:ascii="Arial" w:hAnsi="Arial" w:cs="Arial"/>
                <w:sz w:val="20"/>
                <w:szCs w:val="20"/>
              </w:rPr>
              <w:t>zynsz dzierżawy</w:t>
            </w:r>
            <w:r w:rsidR="002F40F5" w:rsidRPr="00C55A8C">
              <w:rPr>
                <w:rFonts w:ascii="Arial" w:hAnsi="Arial" w:cs="Arial"/>
                <w:sz w:val="20"/>
                <w:szCs w:val="20"/>
              </w:rPr>
              <w:t xml:space="preserve"> wynosi </w:t>
            </w:r>
            <w:r w:rsidR="00C55A8C" w:rsidRPr="00C55A8C">
              <w:rPr>
                <w:rFonts w:ascii="Arial" w:hAnsi="Arial" w:cs="Arial"/>
                <w:sz w:val="20"/>
                <w:szCs w:val="20"/>
              </w:rPr>
              <w:t>–</w:t>
            </w:r>
            <w:r w:rsidR="002F40F5" w:rsidRPr="00C55A8C">
              <w:rPr>
                <w:rFonts w:ascii="Arial" w:hAnsi="Arial" w:cs="Arial"/>
                <w:sz w:val="20"/>
                <w:szCs w:val="20"/>
              </w:rPr>
              <w:t xml:space="preserve"> 2,87zł/m</w:t>
            </w:r>
            <w:r w:rsidR="002F40F5" w:rsidRPr="00C55A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="00171B11">
              <w:rPr>
                <w:rFonts w:ascii="Arial" w:hAnsi="Arial" w:cs="Arial"/>
                <w:sz w:val="20"/>
                <w:szCs w:val="20"/>
              </w:rPr>
              <w:t xml:space="preserve">  + obowiązujący VAT</w:t>
            </w:r>
            <w:r w:rsidR="002F40F5" w:rsidRPr="00C55A8C">
              <w:rPr>
                <w:rFonts w:ascii="Arial" w:hAnsi="Arial" w:cs="Arial"/>
                <w:sz w:val="20"/>
                <w:szCs w:val="20"/>
              </w:rPr>
              <w:t xml:space="preserve"> tj. 23%  </w:t>
            </w:r>
            <w:r w:rsidR="004D3E71" w:rsidRPr="00C55A8C">
              <w:rPr>
                <w:rFonts w:ascii="Arial" w:hAnsi="Arial" w:cs="Arial"/>
                <w:sz w:val="20"/>
                <w:szCs w:val="20"/>
              </w:rPr>
              <w:t>, umowa dzierżawy</w:t>
            </w:r>
            <w:r w:rsidR="002F40F5" w:rsidRPr="00C55A8C">
              <w:rPr>
                <w:rFonts w:ascii="Arial" w:hAnsi="Arial" w:cs="Arial"/>
                <w:sz w:val="20"/>
                <w:szCs w:val="20"/>
              </w:rPr>
              <w:t xml:space="preserve"> zawarta</w:t>
            </w:r>
            <w:r w:rsidR="004D3E71" w:rsidRPr="00C55A8C">
              <w:rPr>
                <w:rFonts w:ascii="Arial" w:hAnsi="Arial" w:cs="Arial"/>
                <w:sz w:val="20"/>
                <w:szCs w:val="20"/>
              </w:rPr>
              <w:t xml:space="preserve"> na okres 10 lat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C10831" w:rsidRPr="00C55A8C" w:rsidRDefault="004D3E71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Lokal położony w Rybinie nr 63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C10831" w:rsidRPr="00C55A8C" w:rsidRDefault="00CA46E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D</w:t>
            </w:r>
            <w:r w:rsidR="00F13F82" w:rsidRPr="00C55A8C">
              <w:rPr>
                <w:rFonts w:ascii="Arial" w:hAnsi="Arial" w:cs="Arial"/>
                <w:sz w:val="20"/>
                <w:szCs w:val="20"/>
              </w:rPr>
              <w:t>o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 czynszu  za dzierżawę lokalu doliczone</w:t>
            </w:r>
            <w:r w:rsidR="004D3E71" w:rsidRPr="00C55A8C">
              <w:rPr>
                <w:rFonts w:ascii="Arial" w:hAnsi="Arial" w:cs="Arial"/>
                <w:sz w:val="20"/>
                <w:szCs w:val="20"/>
              </w:rPr>
              <w:t xml:space="preserve"> będą  opłaty eksploatacyjne : opłata za centralne ogrzewanie, </w:t>
            </w:r>
            <w:r w:rsidRPr="00C55A8C">
              <w:rPr>
                <w:rFonts w:ascii="Arial" w:hAnsi="Arial" w:cs="Arial"/>
                <w:sz w:val="20"/>
                <w:szCs w:val="20"/>
              </w:rPr>
              <w:t>opłata za wodę, opłata za licznik, opłata za odprowadzanie nieczystości płynnych, opłata za usługi kominiarskie</w:t>
            </w:r>
            <w:r w:rsidR="004F7559" w:rsidRPr="00C55A8C">
              <w:rPr>
                <w:rFonts w:ascii="Arial" w:hAnsi="Arial" w:cs="Arial"/>
                <w:sz w:val="20"/>
                <w:szCs w:val="20"/>
              </w:rPr>
              <w:t xml:space="preserve">, ubezpieczenie budynku. Opłata 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C0756C" w:rsidRPr="00C55A8C">
              <w:rPr>
                <w:rFonts w:ascii="Arial" w:hAnsi="Arial" w:cs="Arial"/>
                <w:sz w:val="20"/>
                <w:szCs w:val="20"/>
              </w:rPr>
              <w:t>dzierżawę lokalu</w:t>
            </w:r>
            <w:r w:rsidR="002F40F5" w:rsidRPr="00C55A8C">
              <w:rPr>
                <w:rFonts w:ascii="Arial" w:hAnsi="Arial" w:cs="Arial"/>
                <w:sz w:val="20"/>
                <w:szCs w:val="20"/>
              </w:rPr>
              <w:t xml:space="preserve"> będz</w:t>
            </w:r>
            <w:r w:rsidR="004F7559" w:rsidRPr="00C55A8C">
              <w:rPr>
                <w:rFonts w:ascii="Arial" w:hAnsi="Arial" w:cs="Arial"/>
                <w:sz w:val="20"/>
                <w:szCs w:val="20"/>
              </w:rPr>
              <w:t xml:space="preserve">ie co roku ulegała aktualizacji </w:t>
            </w:r>
            <w:r w:rsidR="002F40F5" w:rsidRPr="00C55A8C">
              <w:rPr>
                <w:rFonts w:ascii="Arial" w:hAnsi="Arial" w:cs="Arial"/>
                <w:sz w:val="20"/>
                <w:szCs w:val="20"/>
              </w:rPr>
              <w:t>zgodnie ze stopniem inflacji, ogłoszonym komunikatem GUS</w:t>
            </w:r>
            <w:r w:rsidR="00286FB0" w:rsidRPr="00C55A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7559" w:rsidRPr="00C55A8C" w:rsidTr="00B37AA9">
        <w:trPr>
          <w:trHeight w:val="125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F7559" w:rsidRPr="00C55A8C" w:rsidRDefault="004F7559" w:rsidP="00B37A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C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4F7559" w:rsidRPr="00C55A8C" w:rsidRDefault="004F7559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Część działki 1548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F7559" w:rsidRPr="00C55A8C" w:rsidRDefault="004F7559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GD2M/00048720/7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4F7559" w:rsidRPr="00C55A8C" w:rsidRDefault="004F7559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0,0130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4F7559" w:rsidRPr="00C55A8C" w:rsidRDefault="00F13F8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 xml:space="preserve">Działka o kształcie prostokąta  media komunalne w sąsiedztwie 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4F7559" w:rsidRPr="00C55A8C" w:rsidRDefault="00F13F8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Czynsz dzierżawny wynosi 50 zł + obowiązujący podatek VAT  tj. 23%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4F7559" w:rsidRPr="00C55A8C" w:rsidRDefault="00F13F8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>Działka niezabudowana położona przy ul. Powstańców Warszawy vis a vis skrzyżowania z ulicą Wąską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4F7559" w:rsidRPr="00C55A8C" w:rsidRDefault="00F13F82" w:rsidP="00B37A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A8C">
              <w:rPr>
                <w:rFonts w:ascii="Arial" w:hAnsi="Arial" w:cs="Arial"/>
                <w:sz w:val="20"/>
                <w:szCs w:val="20"/>
              </w:rPr>
              <w:t xml:space="preserve">Nabywca został wyłoniony w trybie bez przetargowym Do czynszu dzierżawnego zostanie doliczony podatek VAT w wys. 23%.  Nieruchomość </w:t>
            </w:r>
            <w:r w:rsidRPr="00C55A8C"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Pr="00C55A8C">
              <w:rPr>
                <w:rFonts w:ascii="Arial" w:hAnsi="Arial" w:cs="Arial"/>
                <w:bCs/>
                <w:sz w:val="20"/>
                <w:szCs w:val="20"/>
              </w:rPr>
              <w:t>obciążona</w:t>
            </w:r>
            <w:r w:rsidRPr="00C55A8C">
              <w:rPr>
                <w:rFonts w:ascii="Arial" w:hAnsi="Arial" w:cs="Arial"/>
                <w:sz w:val="20"/>
                <w:szCs w:val="20"/>
              </w:rPr>
              <w:t xml:space="preserve">  prawem na </w:t>
            </w:r>
            <w:r w:rsidRPr="00C55A8C">
              <w:rPr>
                <w:rFonts w:ascii="Arial" w:hAnsi="Arial" w:cs="Arial"/>
                <w:bCs/>
                <w:sz w:val="20"/>
                <w:szCs w:val="20"/>
              </w:rPr>
              <w:t>rzecz osób trzecich.</w:t>
            </w:r>
          </w:p>
        </w:tc>
      </w:tr>
    </w:tbl>
    <w:p w:rsidR="00B37AA9" w:rsidRPr="00C55A8C" w:rsidRDefault="00747FDF" w:rsidP="00CA2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5A8C">
        <w:rPr>
          <w:rFonts w:ascii="Arial" w:hAnsi="Arial" w:cs="Arial"/>
          <w:sz w:val="20"/>
          <w:szCs w:val="20"/>
        </w:rPr>
        <w:t xml:space="preserve">Od dnia wywieszenia wykazu, liczba porządkowa od 1-4 dotyczy sprzedaży, wyznacza się 6 </w:t>
      </w:r>
      <w:r w:rsidR="00C55A8C" w:rsidRPr="00C55A8C">
        <w:rPr>
          <w:rFonts w:ascii="Arial" w:hAnsi="Arial" w:cs="Arial"/>
          <w:sz w:val="20"/>
          <w:szCs w:val="20"/>
        </w:rPr>
        <w:t>–</w:t>
      </w:r>
      <w:r w:rsidRPr="00C55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5A8C">
        <w:rPr>
          <w:rFonts w:ascii="Arial" w:hAnsi="Arial" w:cs="Arial"/>
          <w:sz w:val="20"/>
          <w:szCs w:val="20"/>
        </w:rPr>
        <w:t>cio</w:t>
      </w:r>
      <w:proofErr w:type="spellEnd"/>
      <w:r w:rsidRPr="00C55A8C">
        <w:rPr>
          <w:rFonts w:ascii="Arial" w:hAnsi="Arial" w:cs="Arial"/>
          <w:sz w:val="20"/>
          <w:szCs w:val="20"/>
        </w:rPr>
        <w:t xml:space="preserve"> tygodniowy termin do złożenia wniosku o nabycie w/w nieruchomości osobom, którym przysługuje pierwszeństwo n</w:t>
      </w:r>
      <w:r w:rsidR="00B37AA9" w:rsidRPr="00C55A8C">
        <w:rPr>
          <w:rFonts w:ascii="Arial" w:hAnsi="Arial" w:cs="Arial"/>
          <w:sz w:val="20"/>
          <w:szCs w:val="20"/>
        </w:rPr>
        <w:t xml:space="preserve">abycia na podstawie </w:t>
      </w:r>
      <w:r w:rsidR="00C55A8C" w:rsidRPr="00C55A8C">
        <w:rPr>
          <w:rFonts w:ascii="Arial" w:hAnsi="Arial" w:cs="Arial"/>
          <w:sz w:val="20"/>
          <w:szCs w:val="20"/>
        </w:rPr>
        <w:t>art</w:t>
      </w:r>
      <w:r w:rsidR="00B37AA9" w:rsidRPr="00C55A8C">
        <w:rPr>
          <w:rFonts w:ascii="Arial" w:hAnsi="Arial" w:cs="Arial"/>
          <w:sz w:val="20"/>
          <w:szCs w:val="20"/>
        </w:rPr>
        <w:t xml:space="preserve">. 34 </w:t>
      </w:r>
      <w:r w:rsidRPr="00C55A8C">
        <w:rPr>
          <w:rFonts w:ascii="Arial" w:hAnsi="Arial" w:cs="Arial"/>
          <w:sz w:val="20"/>
          <w:szCs w:val="20"/>
        </w:rPr>
        <w:t>ust. 1 pkt.1 i 2 ustawy z dnia 21 sierpnia 1997r. o gospodarce nieruchomościam</w:t>
      </w:r>
      <w:r w:rsidR="00C55A8C" w:rsidRPr="00C55A8C">
        <w:rPr>
          <w:rFonts w:ascii="Arial" w:hAnsi="Arial" w:cs="Arial"/>
          <w:sz w:val="20"/>
          <w:szCs w:val="20"/>
        </w:rPr>
        <w:t>i / tj.  Dz. U. z 2010r. Nr 102 poz. 651</w:t>
      </w:r>
      <w:r w:rsidRPr="00C55A8C">
        <w:rPr>
          <w:rFonts w:ascii="Arial" w:hAnsi="Arial" w:cs="Arial"/>
          <w:sz w:val="20"/>
          <w:szCs w:val="20"/>
        </w:rPr>
        <w:t xml:space="preserve"> ze zm. /. Za datę wywieszenia wykazu przyjmuje się dzień ogłoszenia w prasie informacji o jego wywieszeniu</w:t>
      </w:r>
    </w:p>
    <w:p w:rsidR="004F7A97" w:rsidRPr="00C55A8C" w:rsidRDefault="00CD6196" w:rsidP="00CA27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5A8C">
        <w:rPr>
          <w:rFonts w:ascii="Arial" w:hAnsi="Arial" w:cs="Arial"/>
          <w:b/>
          <w:sz w:val="20"/>
          <w:szCs w:val="20"/>
        </w:rPr>
        <w:t xml:space="preserve">Stegna, dnia </w:t>
      </w:r>
      <w:r w:rsidR="00B37AA9" w:rsidRPr="00C55A8C">
        <w:rPr>
          <w:rFonts w:ascii="Arial" w:hAnsi="Arial" w:cs="Arial"/>
          <w:b/>
          <w:sz w:val="20"/>
          <w:szCs w:val="20"/>
        </w:rPr>
        <w:t>2013.08.02</w:t>
      </w:r>
    </w:p>
    <w:p w:rsidR="00C55A8C" w:rsidRDefault="00C55A8C" w:rsidP="00C55A8C">
      <w:pPr>
        <w:jc w:val="right"/>
        <w:rPr>
          <w:rFonts w:ascii="Arial" w:hAnsi="Arial" w:cs="Arial"/>
          <w:b/>
          <w:sz w:val="20"/>
          <w:szCs w:val="20"/>
        </w:rPr>
      </w:pPr>
      <w:r w:rsidRPr="00C55A8C">
        <w:rPr>
          <w:rFonts w:ascii="Arial" w:hAnsi="Arial" w:cs="Arial"/>
          <w:b/>
          <w:sz w:val="20"/>
          <w:szCs w:val="20"/>
        </w:rPr>
        <w:t>Wójt Gminy Stegna</w:t>
      </w:r>
    </w:p>
    <w:p w:rsidR="002072DB" w:rsidRDefault="002072DB" w:rsidP="002072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5533F">
        <w:rPr>
          <w:rFonts w:ascii="Arial" w:hAnsi="Arial" w:cs="Arial"/>
          <w:b/>
          <w:sz w:val="20"/>
          <w:szCs w:val="20"/>
        </w:rPr>
        <w:t>/-/</w:t>
      </w:r>
    </w:p>
    <w:p w:rsidR="00C55A8C" w:rsidRPr="00C55A8C" w:rsidRDefault="00C55A8C" w:rsidP="00C55A8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Jolanta Kwiatkowska</w:t>
      </w:r>
    </w:p>
    <w:sectPr w:rsidR="00C55A8C" w:rsidRPr="00C55A8C" w:rsidSect="00F05E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DF" w:rsidRDefault="003C12DF" w:rsidP="00EC14F5">
      <w:pPr>
        <w:spacing w:after="0" w:line="240" w:lineRule="auto"/>
      </w:pPr>
      <w:r>
        <w:separator/>
      </w:r>
    </w:p>
  </w:endnote>
  <w:endnote w:type="continuationSeparator" w:id="0">
    <w:p w:rsidR="003C12DF" w:rsidRDefault="003C12DF" w:rsidP="00EC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DF" w:rsidRDefault="003C12DF" w:rsidP="00EC14F5">
      <w:pPr>
        <w:spacing w:after="0" w:line="240" w:lineRule="auto"/>
      </w:pPr>
      <w:r>
        <w:separator/>
      </w:r>
    </w:p>
  </w:footnote>
  <w:footnote w:type="continuationSeparator" w:id="0">
    <w:p w:rsidR="003C12DF" w:rsidRDefault="003C12DF" w:rsidP="00EC1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E95"/>
    <w:rsid w:val="0000385E"/>
    <w:rsid w:val="000041EC"/>
    <w:rsid w:val="00010AEB"/>
    <w:rsid w:val="00021CA9"/>
    <w:rsid w:val="0004302C"/>
    <w:rsid w:val="00046EAB"/>
    <w:rsid w:val="00054747"/>
    <w:rsid w:val="00057BB5"/>
    <w:rsid w:val="00066BD9"/>
    <w:rsid w:val="00087C72"/>
    <w:rsid w:val="000D632E"/>
    <w:rsid w:val="000E5047"/>
    <w:rsid w:val="00107224"/>
    <w:rsid w:val="00107B03"/>
    <w:rsid w:val="001638B8"/>
    <w:rsid w:val="00171B11"/>
    <w:rsid w:val="001B2242"/>
    <w:rsid w:val="001C25C5"/>
    <w:rsid w:val="00200464"/>
    <w:rsid w:val="002072DB"/>
    <w:rsid w:val="00226BF9"/>
    <w:rsid w:val="00232E1B"/>
    <w:rsid w:val="0024498E"/>
    <w:rsid w:val="00246DBA"/>
    <w:rsid w:val="00253AE5"/>
    <w:rsid w:val="00262705"/>
    <w:rsid w:val="002704C8"/>
    <w:rsid w:val="00286FB0"/>
    <w:rsid w:val="002A562E"/>
    <w:rsid w:val="002C047C"/>
    <w:rsid w:val="002C17F9"/>
    <w:rsid w:val="002D2878"/>
    <w:rsid w:val="002E57A1"/>
    <w:rsid w:val="002E6AA7"/>
    <w:rsid w:val="002F40F5"/>
    <w:rsid w:val="003037D6"/>
    <w:rsid w:val="003576B5"/>
    <w:rsid w:val="00366E58"/>
    <w:rsid w:val="00375AAB"/>
    <w:rsid w:val="00387A6E"/>
    <w:rsid w:val="003B5156"/>
    <w:rsid w:val="003C12DF"/>
    <w:rsid w:val="003D54D3"/>
    <w:rsid w:val="004168CD"/>
    <w:rsid w:val="0045166C"/>
    <w:rsid w:val="00462688"/>
    <w:rsid w:val="004B15E3"/>
    <w:rsid w:val="004D3E71"/>
    <w:rsid w:val="004F7559"/>
    <w:rsid w:val="004F7A97"/>
    <w:rsid w:val="00503461"/>
    <w:rsid w:val="00514070"/>
    <w:rsid w:val="00524E5C"/>
    <w:rsid w:val="0053077E"/>
    <w:rsid w:val="0053112D"/>
    <w:rsid w:val="005964D4"/>
    <w:rsid w:val="005B1230"/>
    <w:rsid w:val="005D5DF7"/>
    <w:rsid w:val="005E2570"/>
    <w:rsid w:val="00603D3F"/>
    <w:rsid w:val="0061674D"/>
    <w:rsid w:val="00635A68"/>
    <w:rsid w:val="0064375F"/>
    <w:rsid w:val="00662FCE"/>
    <w:rsid w:val="00663A54"/>
    <w:rsid w:val="00666CA3"/>
    <w:rsid w:val="00670EDA"/>
    <w:rsid w:val="006819BC"/>
    <w:rsid w:val="00683ACA"/>
    <w:rsid w:val="006B5B42"/>
    <w:rsid w:val="006B665B"/>
    <w:rsid w:val="006D0B7C"/>
    <w:rsid w:val="00702877"/>
    <w:rsid w:val="00702E64"/>
    <w:rsid w:val="00747EEB"/>
    <w:rsid w:val="00747FDF"/>
    <w:rsid w:val="00784381"/>
    <w:rsid w:val="0079485C"/>
    <w:rsid w:val="007A2262"/>
    <w:rsid w:val="007C73C2"/>
    <w:rsid w:val="007E1C9F"/>
    <w:rsid w:val="008002B7"/>
    <w:rsid w:val="008231B4"/>
    <w:rsid w:val="0087790A"/>
    <w:rsid w:val="008A208B"/>
    <w:rsid w:val="008E7FE8"/>
    <w:rsid w:val="009241FB"/>
    <w:rsid w:val="00954AE3"/>
    <w:rsid w:val="0095533F"/>
    <w:rsid w:val="00960512"/>
    <w:rsid w:val="00967715"/>
    <w:rsid w:val="0097151B"/>
    <w:rsid w:val="009A7886"/>
    <w:rsid w:val="009B2477"/>
    <w:rsid w:val="009E4F4C"/>
    <w:rsid w:val="00A03288"/>
    <w:rsid w:val="00A72474"/>
    <w:rsid w:val="00A72EC2"/>
    <w:rsid w:val="00A850F0"/>
    <w:rsid w:val="00A90BE3"/>
    <w:rsid w:val="00AB17FF"/>
    <w:rsid w:val="00AE59D8"/>
    <w:rsid w:val="00AF2032"/>
    <w:rsid w:val="00B1521F"/>
    <w:rsid w:val="00B24270"/>
    <w:rsid w:val="00B37AA9"/>
    <w:rsid w:val="00B40C1C"/>
    <w:rsid w:val="00B75017"/>
    <w:rsid w:val="00B75253"/>
    <w:rsid w:val="00B90090"/>
    <w:rsid w:val="00BA4429"/>
    <w:rsid w:val="00BB0E5F"/>
    <w:rsid w:val="00BE064C"/>
    <w:rsid w:val="00C0756C"/>
    <w:rsid w:val="00C10831"/>
    <w:rsid w:val="00C55A8C"/>
    <w:rsid w:val="00C57A21"/>
    <w:rsid w:val="00C667B2"/>
    <w:rsid w:val="00CA00BC"/>
    <w:rsid w:val="00CA278E"/>
    <w:rsid w:val="00CA46E2"/>
    <w:rsid w:val="00CD6196"/>
    <w:rsid w:val="00CF11A7"/>
    <w:rsid w:val="00D41D65"/>
    <w:rsid w:val="00D64CAB"/>
    <w:rsid w:val="00D66E58"/>
    <w:rsid w:val="00D745C7"/>
    <w:rsid w:val="00D82A18"/>
    <w:rsid w:val="00D9145C"/>
    <w:rsid w:val="00D959D3"/>
    <w:rsid w:val="00DB7A87"/>
    <w:rsid w:val="00E068A3"/>
    <w:rsid w:val="00E16C28"/>
    <w:rsid w:val="00E34A24"/>
    <w:rsid w:val="00EC14F5"/>
    <w:rsid w:val="00EE3167"/>
    <w:rsid w:val="00EF0E21"/>
    <w:rsid w:val="00F05E95"/>
    <w:rsid w:val="00F13F82"/>
    <w:rsid w:val="00F20D78"/>
    <w:rsid w:val="00F278C7"/>
    <w:rsid w:val="00F63AD2"/>
    <w:rsid w:val="00F91743"/>
    <w:rsid w:val="00F9708B"/>
    <w:rsid w:val="00FC12B4"/>
    <w:rsid w:val="00FC5A45"/>
    <w:rsid w:val="00FD50F9"/>
    <w:rsid w:val="00FE0E48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05E95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7B03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7B03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7B0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485C"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485C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485C"/>
    <w:pPr>
      <w:spacing w:before="240" w:after="60" w:line="240" w:lineRule="auto"/>
      <w:outlineLvl w:val="5"/>
    </w:pPr>
    <w:rPr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485C"/>
    <w:pPr>
      <w:spacing w:before="240" w:after="60" w:line="240" w:lineRule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485C"/>
    <w:pPr>
      <w:spacing w:before="240" w:after="60" w:line="240" w:lineRule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485C"/>
    <w:pPr>
      <w:spacing w:before="240" w:after="60" w:line="240" w:lineRule="auto"/>
      <w:outlineLvl w:val="8"/>
    </w:pPr>
    <w:rPr>
      <w:rFonts w:ascii="Cambria" w:hAnsi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485C"/>
    <w:rPr>
      <w:rFonts w:eastAsia="Times New Roman" w:cs="Times New Roman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485C"/>
    <w:rPr>
      <w:rFonts w:eastAsia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07B0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485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48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485C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485C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485C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485C"/>
    <w:rPr>
      <w:rFonts w:ascii="Cambria" w:hAnsi="Cambria" w:cs="Times New Roman"/>
      <w:sz w:val="22"/>
      <w:szCs w:val="22"/>
    </w:rPr>
  </w:style>
  <w:style w:type="paragraph" w:styleId="Bezodstpw">
    <w:name w:val="No Spacing"/>
    <w:uiPriority w:val="99"/>
    <w:qFormat/>
    <w:rsid w:val="00B75017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9485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85C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485C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485C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485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9485C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79485C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79485C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485C"/>
    <w:rPr>
      <w:rFonts w:cs="Times New Roman"/>
      <w:i/>
      <w:iCs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485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485C"/>
    <w:rPr>
      <w:rFonts w:cs="Times New Roman"/>
      <w:b/>
      <w:bCs/>
      <w:i/>
      <w:iCs/>
      <w:color w:val="4F81BD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79485C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485C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79485C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79485C"/>
    <w:rPr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485C"/>
    <w:rPr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485C"/>
    <w:pPr>
      <w:spacing w:before="240" w:after="60"/>
      <w:outlineLvl w:val="9"/>
    </w:pPr>
    <w:rPr>
      <w:rFonts w:ascii="Cambria" w:hAnsi="Cambria"/>
      <w:b/>
      <w:bCs/>
      <w:i w:val="0"/>
      <w:iCs w:val="0"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EC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14F5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C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14F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B5F7-3998-454C-939C-43E844DE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616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Sowa</dc:creator>
  <cp:keywords/>
  <dc:description/>
  <cp:lastModifiedBy>Patrycja Czuba</cp:lastModifiedBy>
  <cp:revision>42</cp:revision>
  <cp:lastPrinted>2013-08-02T09:36:00Z</cp:lastPrinted>
  <dcterms:created xsi:type="dcterms:W3CDTF">2013-08-01T07:20:00Z</dcterms:created>
  <dcterms:modified xsi:type="dcterms:W3CDTF">2013-08-02T11:01:00Z</dcterms:modified>
</cp:coreProperties>
</file>