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CF0" w:rsidRPr="00547C4D" w:rsidRDefault="00FF3CF0" w:rsidP="00FF3CF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1</w:t>
      </w:r>
      <w:r w:rsidRPr="00547C4D">
        <w:rPr>
          <w:b/>
          <w:sz w:val="24"/>
          <w:szCs w:val="24"/>
        </w:rPr>
        <w:t xml:space="preserve">.0 </w:t>
      </w:r>
      <w:r w:rsidRPr="00547C4D">
        <w:rPr>
          <w:b/>
          <w:sz w:val="24"/>
          <w:szCs w:val="24"/>
          <w:u w:val="single"/>
        </w:rPr>
        <w:t>Ochrona przeciwpożarowa</w:t>
      </w:r>
    </w:p>
    <w:p w:rsidR="00FF3CF0" w:rsidRPr="00547C4D" w:rsidRDefault="00FF3CF0" w:rsidP="00FF3CF0">
      <w:pPr>
        <w:jc w:val="center"/>
        <w:rPr>
          <w:b/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Budynek zaliczony do kategorii zagrożenia ludzi ZL I</w:t>
      </w:r>
      <w:r>
        <w:rPr>
          <w:szCs w:val="24"/>
        </w:rPr>
        <w:t>I</w:t>
      </w:r>
      <w:r w:rsidRPr="00547C4D">
        <w:rPr>
          <w:szCs w:val="24"/>
        </w:rPr>
        <w:t>I, jednokondygnacyjny, niski,               bez podpiwniczenia.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 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Strefa pożarowa zaliczona do kategorii zagrożenia ludzi ZL I</w:t>
      </w:r>
      <w:r>
        <w:rPr>
          <w:szCs w:val="24"/>
        </w:rPr>
        <w:t>I</w:t>
      </w:r>
      <w:r w:rsidRPr="00547C4D">
        <w:rPr>
          <w:szCs w:val="24"/>
        </w:rPr>
        <w:t xml:space="preserve">I, z zagospodarowaniem pomieszczeń umożliwiającym przebywanie jednocześnie </w:t>
      </w:r>
      <w:r>
        <w:rPr>
          <w:szCs w:val="24"/>
        </w:rPr>
        <w:t>do</w:t>
      </w:r>
      <w:r w:rsidRPr="00547C4D">
        <w:rPr>
          <w:szCs w:val="24"/>
        </w:rPr>
        <w:t xml:space="preserve"> 50 osób będących stałymi użytkownikami budynku.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  <w:u w:val="single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Budynek o wysokości poniżej 12m – budynek niski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Nie występuje zagrożenie wybuchem .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b/>
          <w:color w:val="FF0000"/>
          <w:szCs w:val="24"/>
        </w:rPr>
      </w:pPr>
      <w:r w:rsidRPr="00547C4D">
        <w:rPr>
          <w:b/>
          <w:szCs w:val="24"/>
        </w:rPr>
        <w:t>Dopuszczalna klasa odporności pożarowej budynku    „D”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  <w:r w:rsidRPr="00547C4D">
        <w:rPr>
          <w:b/>
          <w:szCs w:val="24"/>
        </w:rPr>
        <w:t>Odporność ogniowa elementów konstrukcyjnych budynku w klasie odporności pożarowej „D” :</w:t>
      </w:r>
      <w:r w:rsidRPr="00547C4D">
        <w:rPr>
          <w:szCs w:val="24"/>
        </w:rPr>
        <w:t xml:space="preserve">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  <w:r w:rsidRPr="00547C4D">
        <w:rPr>
          <w:szCs w:val="24"/>
        </w:rPr>
        <w:t>Budynek z elementów nie rozprzestrzeniających ognia.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b/>
          <w:sz w:val="24"/>
          <w:szCs w:val="24"/>
        </w:rPr>
      </w:pPr>
    </w:p>
    <w:p w:rsidR="00FF3CF0" w:rsidRPr="00547C4D" w:rsidRDefault="00FF3CF0" w:rsidP="00FF3CF0">
      <w:pPr>
        <w:pStyle w:val="Tekstpodstawowy"/>
        <w:numPr>
          <w:ilvl w:val="0"/>
          <w:numId w:val="2"/>
        </w:numPr>
        <w:tabs>
          <w:tab w:val="clear" w:pos="0"/>
          <w:tab w:val="clear" w:pos="360"/>
          <w:tab w:val="left" w:pos="426"/>
          <w:tab w:val="num" w:pos="1418"/>
        </w:tabs>
        <w:suppressAutoHyphens w:val="0"/>
        <w:ind w:left="1418" w:hanging="284"/>
        <w:jc w:val="both"/>
        <w:rPr>
          <w:szCs w:val="24"/>
        </w:rPr>
      </w:pPr>
      <w:r w:rsidRPr="00547C4D">
        <w:rPr>
          <w:szCs w:val="24"/>
        </w:rPr>
        <w:t>Główna konstrukcja nośna spełnia wymagania klasy odporności ogniowej  R120 (</w:t>
      </w:r>
      <w:r>
        <w:rPr>
          <w:szCs w:val="24"/>
        </w:rPr>
        <w:t>więźba dachowa</w:t>
      </w:r>
      <w:r w:rsidRPr="00547C4D">
        <w:rPr>
          <w:szCs w:val="24"/>
        </w:rPr>
        <w:t xml:space="preserve"> zabezpieczon</w:t>
      </w:r>
      <w:r>
        <w:rPr>
          <w:szCs w:val="24"/>
        </w:rPr>
        <w:t>a</w:t>
      </w:r>
      <w:r w:rsidRPr="00547C4D">
        <w:rPr>
          <w:szCs w:val="24"/>
        </w:rPr>
        <w:t xml:space="preserve"> ogniowo za pomocą lakieru </w:t>
      </w:r>
      <w:proofErr w:type="spellStart"/>
      <w:r w:rsidRPr="00547C4D">
        <w:rPr>
          <w:szCs w:val="24"/>
        </w:rPr>
        <w:t>Uniepal</w:t>
      </w:r>
      <w:proofErr w:type="spellEnd"/>
      <w:r w:rsidRPr="00547C4D">
        <w:rPr>
          <w:szCs w:val="24"/>
        </w:rPr>
        <w:t xml:space="preserve"> Drew </w:t>
      </w:r>
      <w:proofErr w:type="spellStart"/>
      <w:r w:rsidRPr="00547C4D">
        <w:rPr>
          <w:szCs w:val="24"/>
        </w:rPr>
        <w:t>Aqua</w:t>
      </w:r>
      <w:proofErr w:type="spellEnd"/>
      <w:r w:rsidRPr="00547C4D">
        <w:rPr>
          <w:szCs w:val="24"/>
        </w:rPr>
        <w:t xml:space="preserve">, klasa odporności ogniowej NRO. </w:t>
      </w:r>
    </w:p>
    <w:p w:rsidR="00FF3CF0" w:rsidRPr="00547C4D" w:rsidRDefault="00FF3CF0" w:rsidP="00FF3CF0">
      <w:pPr>
        <w:pStyle w:val="Tekstpodstawowy"/>
        <w:numPr>
          <w:ilvl w:val="0"/>
          <w:numId w:val="2"/>
        </w:numPr>
        <w:tabs>
          <w:tab w:val="clear" w:pos="0"/>
          <w:tab w:val="clear" w:pos="360"/>
          <w:tab w:val="num" w:pos="1418"/>
        </w:tabs>
        <w:suppressAutoHyphens w:val="0"/>
        <w:ind w:left="1418" w:hanging="284"/>
        <w:jc w:val="both"/>
        <w:rPr>
          <w:szCs w:val="24"/>
        </w:rPr>
      </w:pPr>
      <w:proofErr w:type="spellStart"/>
      <w:r w:rsidRPr="00547C4D">
        <w:rPr>
          <w:szCs w:val="24"/>
        </w:rPr>
        <w:t>Przekrycie</w:t>
      </w:r>
      <w:proofErr w:type="spellEnd"/>
      <w:r w:rsidRPr="00547C4D">
        <w:rPr>
          <w:szCs w:val="24"/>
        </w:rPr>
        <w:t xml:space="preserve"> dachu spełnia wymagania nie rozprzestrzeniania ognia, konstrukcja dachu niepalna, nie umieszcza się na niej palnych elementów izolacji cieplnej. </w:t>
      </w:r>
    </w:p>
    <w:p w:rsidR="00FF3CF0" w:rsidRPr="00547C4D" w:rsidRDefault="00FF3CF0" w:rsidP="00FF3CF0">
      <w:pPr>
        <w:pStyle w:val="Tekstpodstawowy"/>
        <w:numPr>
          <w:ilvl w:val="0"/>
          <w:numId w:val="2"/>
        </w:numPr>
        <w:tabs>
          <w:tab w:val="clear" w:pos="0"/>
          <w:tab w:val="clear" w:pos="360"/>
          <w:tab w:val="left" w:pos="426"/>
          <w:tab w:val="num" w:pos="1418"/>
        </w:tabs>
        <w:suppressAutoHyphens w:val="0"/>
        <w:ind w:left="1418" w:hanging="284"/>
        <w:jc w:val="both"/>
        <w:rPr>
          <w:szCs w:val="24"/>
        </w:rPr>
      </w:pPr>
      <w:r w:rsidRPr="00547C4D">
        <w:rPr>
          <w:szCs w:val="24"/>
        </w:rPr>
        <w:t xml:space="preserve">Ściany zewnętrzne spełniają wymagania klasy odporności ogniowej EI 60 </w:t>
      </w:r>
    </w:p>
    <w:p w:rsidR="00FF3CF0" w:rsidRPr="00547C4D" w:rsidRDefault="00FF3CF0" w:rsidP="00FF3CF0">
      <w:pPr>
        <w:pStyle w:val="Tekstpodstawowy"/>
        <w:numPr>
          <w:ilvl w:val="0"/>
          <w:numId w:val="2"/>
        </w:numPr>
        <w:tabs>
          <w:tab w:val="clear" w:pos="0"/>
          <w:tab w:val="clear" w:pos="360"/>
          <w:tab w:val="num" w:pos="1418"/>
        </w:tabs>
        <w:suppressAutoHyphens w:val="0"/>
        <w:ind w:left="1418" w:hanging="284"/>
        <w:jc w:val="both"/>
        <w:rPr>
          <w:szCs w:val="24"/>
        </w:rPr>
      </w:pPr>
      <w:r w:rsidRPr="00547C4D">
        <w:rPr>
          <w:szCs w:val="24"/>
        </w:rPr>
        <w:t>Ściany wewnętrzne spełnia wymagania nie rozprzestrzeniania ognia, jako obudowa poziomych dróg ewakuacyjnych spełniają wymagania klasy odporności ogniowej      EI 60.</w:t>
      </w:r>
    </w:p>
    <w:p w:rsidR="00FF3CF0" w:rsidRPr="00547C4D" w:rsidRDefault="00FF3CF0" w:rsidP="00FF3CF0">
      <w:pPr>
        <w:pStyle w:val="Tekstpodstawowy"/>
        <w:tabs>
          <w:tab w:val="clear" w:pos="0"/>
        </w:tabs>
        <w:suppressAutoHyphens w:val="0"/>
        <w:ind w:left="1134"/>
        <w:jc w:val="both"/>
        <w:rPr>
          <w:szCs w:val="24"/>
        </w:rPr>
      </w:pPr>
    </w:p>
    <w:p w:rsidR="00FF3CF0" w:rsidRPr="00547C4D" w:rsidRDefault="00FF3CF0" w:rsidP="00FF3CF0">
      <w:pPr>
        <w:pStyle w:val="Nagwek5"/>
        <w:tabs>
          <w:tab w:val="left" w:pos="330"/>
        </w:tabs>
        <w:ind w:left="330"/>
        <w:rPr>
          <w:szCs w:val="24"/>
        </w:rPr>
      </w:pPr>
      <w:r>
        <w:rPr>
          <w:szCs w:val="24"/>
          <w:u w:val="none"/>
        </w:rPr>
        <w:t>1</w:t>
      </w:r>
      <w:r w:rsidRPr="00547C4D">
        <w:rPr>
          <w:szCs w:val="24"/>
          <w:u w:val="none"/>
        </w:rPr>
        <w:t>.1.</w:t>
      </w:r>
      <w:r w:rsidRPr="00547C4D">
        <w:rPr>
          <w:szCs w:val="24"/>
        </w:rPr>
        <w:t xml:space="preserve"> Warunki lokalizacyjne</w:t>
      </w:r>
    </w:p>
    <w:p w:rsidR="00FF3CF0" w:rsidRPr="00547C4D" w:rsidRDefault="00FF3CF0" w:rsidP="00FF3CF0">
      <w:pPr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Do granic działek budowlanych odległość wynosi od 3m do ponad 4m od ścian posiadających otwory.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W </w:t>
      </w:r>
      <w:r>
        <w:rPr>
          <w:szCs w:val="24"/>
        </w:rPr>
        <w:t>warunkach zabudowy</w:t>
      </w:r>
      <w:r w:rsidRPr="00547C4D">
        <w:rPr>
          <w:szCs w:val="24"/>
        </w:rPr>
        <w:t xml:space="preserve"> nie wskazuje się na konieczność zwiększenia odległości minimalnych od granic działek z uwagi na planowana lub istniejącą zabudowę na działkach sąsiednich. </w:t>
      </w:r>
    </w:p>
    <w:p w:rsidR="00FF3CF0" w:rsidRPr="00547C4D" w:rsidRDefault="00FF3CF0" w:rsidP="00FF3CF0">
      <w:pPr>
        <w:tabs>
          <w:tab w:val="left" w:pos="426"/>
        </w:tabs>
        <w:ind w:left="709"/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  <w:r w:rsidRPr="00547C4D">
        <w:rPr>
          <w:b/>
          <w:szCs w:val="24"/>
        </w:rPr>
        <w:t>Droga pożarowa</w:t>
      </w:r>
      <w:r>
        <w:rPr>
          <w:szCs w:val="24"/>
        </w:rPr>
        <w:t xml:space="preserve">:  droga publiczna </w:t>
      </w:r>
      <w:proofErr w:type="spellStart"/>
      <w:r>
        <w:rPr>
          <w:szCs w:val="24"/>
        </w:rPr>
        <w:t>ul.Sportowa</w:t>
      </w:r>
      <w:proofErr w:type="spellEnd"/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b/>
          <w:sz w:val="24"/>
          <w:szCs w:val="24"/>
        </w:rPr>
      </w:pPr>
    </w:p>
    <w:p w:rsidR="00FF3CF0" w:rsidRPr="00547C4D" w:rsidRDefault="00FF3CF0" w:rsidP="00FF3CF0">
      <w:pPr>
        <w:pStyle w:val="Nagwek5"/>
        <w:tabs>
          <w:tab w:val="left" w:pos="330"/>
        </w:tabs>
        <w:ind w:left="330"/>
        <w:rPr>
          <w:szCs w:val="24"/>
        </w:rPr>
      </w:pPr>
      <w:r>
        <w:rPr>
          <w:szCs w:val="24"/>
          <w:u w:val="none"/>
        </w:rPr>
        <w:t>1</w:t>
      </w:r>
      <w:r w:rsidRPr="00547C4D">
        <w:rPr>
          <w:szCs w:val="24"/>
          <w:u w:val="none"/>
        </w:rPr>
        <w:t>.2.</w:t>
      </w:r>
      <w:r w:rsidRPr="00547C4D">
        <w:rPr>
          <w:szCs w:val="24"/>
        </w:rPr>
        <w:t xml:space="preserve"> Zaopatrzenie w wodę do celów gaśniczych</w:t>
      </w:r>
    </w:p>
    <w:p w:rsidR="00FF3CF0" w:rsidRPr="00547C4D" w:rsidRDefault="00FF3CF0" w:rsidP="00FF3CF0">
      <w:pPr>
        <w:rPr>
          <w:sz w:val="24"/>
          <w:szCs w:val="24"/>
        </w:rPr>
      </w:pPr>
    </w:p>
    <w:p w:rsidR="00FF3CF0" w:rsidRDefault="00FF3CF0" w:rsidP="00FF3CF0">
      <w:pPr>
        <w:ind w:left="708"/>
        <w:jc w:val="both"/>
        <w:rPr>
          <w:sz w:val="24"/>
          <w:szCs w:val="24"/>
        </w:rPr>
      </w:pPr>
      <w:r w:rsidRPr="00547C4D">
        <w:rPr>
          <w:sz w:val="24"/>
          <w:szCs w:val="24"/>
          <w:u w:val="single"/>
        </w:rPr>
        <w:t>Do zewnętrznego gaszenia pożaru</w:t>
      </w:r>
      <w:r w:rsidRPr="00547C4D">
        <w:rPr>
          <w:sz w:val="24"/>
          <w:szCs w:val="24"/>
        </w:rPr>
        <w:t xml:space="preserve"> –</w:t>
      </w:r>
      <w:r w:rsidRPr="00F2069C">
        <w:rPr>
          <w:sz w:val="24"/>
          <w:szCs w:val="24"/>
        </w:rPr>
        <w:t xml:space="preserve">– </w:t>
      </w:r>
      <w:r>
        <w:rPr>
          <w:sz w:val="24"/>
          <w:szCs w:val="24"/>
        </w:rPr>
        <w:t>istniejący w pasie drogowymHP80.</w:t>
      </w:r>
    </w:p>
    <w:p w:rsidR="00FF3CF0" w:rsidRDefault="00FF3CF0" w:rsidP="00FF3CF0">
      <w:pPr>
        <w:jc w:val="both"/>
        <w:rPr>
          <w:sz w:val="24"/>
          <w:szCs w:val="24"/>
        </w:rPr>
      </w:pPr>
    </w:p>
    <w:p w:rsidR="00FF3CF0" w:rsidRDefault="00FF3CF0" w:rsidP="00FF3CF0">
      <w:pPr>
        <w:ind w:firstLine="708"/>
        <w:jc w:val="both"/>
        <w:rPr>
          <w:sz w:val="24"/>
          <w:szCs w:val="24"/>
        </w:rPr>
      </w:pPr>
      <w:r w:rsidRPr="001E549A">
        <w:rPr>
          <w:sz w:val="24"/>
          <w:szCs w:val="24"/>
          <w:u w:val="single"/>
        </w:rPr>
        <w:t>Do wewnętrznego gaszenia pożaru</w:t>
      </w:r>
      <w:r w:rsidRPr="004B44F4">
        <w:rPr>
          <w:sz w:val="24"/>
          <w:szCs w:val="24"/>
        </w:rPr>
        <w:t xml:space="preserve"> –  </w:t>
      </w:r>
      <w:r>
        <w:rPr>
          <w:sz w:val="24"/>
          <w:szCs w:val="24"/>
        </w:rPr>
        <w:t xml:space="preserve">nie </w:t>
      </w:r>
      <w:r w:rsidRPr="004B44F4">
        <w:rPr>
          <w:sz w:val="24"/>
          <w:szCs w:val="24"/>
        </w:rPr>
        <w:t>wymagane</w:t>
      </w:r>
    </w:p>
    <w:p w:rsidR="00FF3CF0" w:rsidRPr="004B44F4" w:rsidRDefault="00FF3CF0" w:rsidP="00FF3CF0">
      <w:pPr>
        <w:ind w:firstLine="708"/>
        <w:jc w:val="both"/>
        <w:rPr>
          <w:sz w:val="24"/>
          <w:szCs w:val="24"/>
        </w:rPr>
      </w:pPr>
    </w:p>
    <w:p w:rsidR="00FF3CF0" w:rsidRPr="001E549A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1E549A">
        <w:rPr>
          <w:sz w:val="24"/>
          <w:szCs w:val="24"/>
        </w:rPr>
        <w:t>Zasięg hydrantów 30m, pokrywa zasięg poszczególnych pomieszczeń.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Zawory odcinające hydrantu powinny być umieszczone na wysokości 1,35±</w:t>
      </w:r>
      <w:smartTag w:uri="urn:schemas-microsoft-com:office:smarttags" w:element="metricconverter">
        <w:smartTagPr>
          <w:attr w:name="ProductID" w:val="0,1 m"/>
        </w:smartTagPr>
        <w:r w:rsidRPr="00547C4D">
          <w:rPr>
            <w:sz w:val="24"/>
            <w:szCs w:val="24"/>
          </w:rPr>
          <w:t>0,1 m</w:t>
        </w:r>
      </w:smartTag>
      <w:r w:rsidRPr="00547C4D">
        <w:rPr>
          <w:sz w:val="24"/>
          <w:szCs w:val="24"/>
        </w:rPr>
        <w:t xml:space="preserve"> od poziomu podłogi. Minimalna wydajność poboru wody mierzona na wylocie </w:t>
      </w:r>
      <w:r w:rsidRPr="00547C4D">
        <w:rPr>
          <w:sz w:val="24"/>
          <w:szCs w:val="24"/>
        </w:rPr>
        <w:lastRenderedPageBreak/>
        <w:t>prądownicy powinna wynosić 1,0 dm</w:t>
      </w:r>
      <w:r w:rsidRPr="00547C4D">
        <w:rPr>
          <w:sz w:val="24"/>
          <w:szCs w:val="24"/>
          <w:vertAlign w:val="superscript"/>
        </w:rPr>
        <w:t>3</w:t>
      </w:r>
      <w:r w:rsidRPr="00547C4D">
        <w:rPr>
          <w:sz w:val="24"/>
          <w:szCs w:val="24"/>
        </w:rPr>
        <w:t xml:space="preserve">/s; Ciśnienie na zaworze hydrantowym hydrantu wewnętrznego powinno zapewniać określoną wydajność, z uwzględnieniem zastosowanej średnicy dyszy prądownicy.  Maksymalne ciśnienie robocze w instalacji wodociągowej przeciwpożarowej nie powinno przekraczać 1,2 </w:t>
      </w:r>
      <w:proofErr w:type="spellStart"/>
      <w:r w:rsidRPr="00547C4D">
        <w:rPr>
          <w:sz w:val="24"/>
          <w:szCs w:val="24"/>
        </w:rPr>
        <w:t>MPa</w:t>
      </w:r>
      <w:proofErr w:type="spellEnd"/>
      <w:r w:rsidRPr="00547C4D">
        <w:rPr>
          <w:sz w:val="24"/>
          <w:szCs w:val="24"/>
        </w:rPr>
        <w:t>. Instalacja wodociągowa przeciwpożarowa powinna być zasilana              z zewnętrznej sieci wodociągowej, bezpośrednio albo za pomocą pompowni przeciwpożarowej</w:t>
      </w:r>
    </w:p>
    <w:p w:rsidR="00FF3CF0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 xml:space="preserve">Należy zapewnić możliwość odłączania zasuwami lub zaworami tych części przewodów zasilających instalację wodociągową przeciwpożarową, które znajdują się pomiędzy </w:t>
      </w:r>
      <w:proofErr w:type="spellStart"/>
      <w:r w:rsidRPr="00547C4D">
        <w:rPr>
          <w:sz w:val="24"/>
          <w:szCs w:val="24"/>
        </w:rPr>
        <w:t>doprowadzeniami</w:t>
      </w:r>
      <w:proofErr w:type="spellEnd"/>
      <w:r w:rsidRPr="00547C4D">
        <w:rPr>
          <w:sz w:val="24"/>
          <w:szCs w:val="24"/>
        </w:rPr>
        <w:t>.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</w:p>
    <w:p w:rsidR="00FF3CF0" w:rsidRPr="00547C4D" w:rsidRDefault="00FF3CF0" w:rsidP="00FF3CF0">
      <w:pPr>
        <w:pStyle w:val="Nagwek5"/>
        <w:tabs>
          <w:tab w:val="left" w:pos="330"/>
        </w:tabs>
        <w:ind w:left="330"/>
        <w:rPr>
          <w:szCs w:val="24"/>
        </w:rPr>
      </w:pPr>
      <w:r>
        <w:rPr>
          <w:szCs w:val="24"/>
          <w:u w:val="none"/>
        </w:rPr>
        <w:t>1</w:t>
      </w:r>
      <w:r w:rsidRPr="00547C4D">
        <w:rPr>
          <w:szCs w:val="24"/>
          <w:u w:val="none"/>
        </w:rPr>
        <w:t>.3.</w:t>
      </w:r>
      <w:r w:rsidRPr="00547C4D">
        <w:rPr>
          <w:szCs w:val="24"/>
        </w:rPr>
        <w:t xml:space="preserve"> Warunki ewakuacji</w:t>
      </w:r>
    </w:p>
    <w:p w:rsidR="00FF3CF0" w:rsidRPr="00547C4D" w:rsidRDefault="00FF3CF0" w:rsidP="00FF3CF0">
      <w:pPr>
        <w:jc w:val="both"/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Zapewnia się ewakuacje z pomieszczeń  przeznaczonych na pobyt ludzi.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Drzwi ewakuacyjne z pomieszczeń o szerokości min 0,9m w świetle ościeżnicy i wysokości min 2,0m.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W przypadku drzwi dwuskrzydłowych jedno skrzydło o wymiarach w świetle co najmniej 0,9m x 2,0m.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Ewakuacja z poszczególnych pomieszczeń przeznaczonych do przebywania </w:t>
      </w:r>
      <w:r>
        <w:rPr>
          <w:szCs w:val="24"/>
        </w:rPr>
        <w:t>do</w:t>
      </w:r>
      <w:r w:rsidRPr="00547C4D">
        <w:rPr>
          <w:szCs w:val="24"/>
        </w:rPr>
        <w:t xml:space="preserve"> 50 osób jednocześnie dwoma wyjściami ewakuacyjnymi.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Drogi ewakuacyjne oświetlone światłem sztucznym.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Pomieszczenia oraz drogi ewakuacyjne wymagają oświetlenia awaryjnego.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Stosowanie do wykończenia wnętrz materiałów łatwo zapalnych, których produkty rozkładu termicznego są bardzo toksyczne lub intensywnie dymiące, jest zabronione.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Budynek oznakować zgodnie z Polskimi Normami :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Znaki bezpieczeństwa. Ochrona przeciwpożarowa w/g  PN-92/N01256/01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Znaki bezpieczeństwa. Ewakuacja w/g PN -92/N-01256/02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Znaki bezpieczeństwa. Techniczne środki przeciwpożarowe PN-N-01256-4: 1997.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Znaki bezpieczeństwa. Zasady umieszczania znaków bezpieczeństwa na drogach ewakuacyjnych i drogach pożarowych. PN-N-01256-5:1998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</w:p>
    <w:p w:rsidR="00FF3CF0" w:rsidRPr="00547C4D" w:rsidRDefault="00FF3CF0" w:rsidP="00FF3CF0">
      <w:pPr>
        <w:pStyle w:val="Nagwek5"/>
        <w:tabs>
          <w:tab w:val="left" w:pos="330"/>
        </w:tabs>
        <w:ind w:left="330"/>
        <w:rPr>
          <w:szCs w:val="24"/>
        </w:rPr>
      </w:pPr>
      <w:r>
        <w:rPr>
          <w:szCs w:val="24"/>
          <w:u w:val="none"/>
        </w:rPr>
        <w:t>1</w:t>
      </w:r>
      <w:r w:rsidRPr="00547C4D">
        <w:rPr>
          <w:szCs w:val="24"/>
          <w:u w:val="none"/>
        </w:rPr>
        <w:t>.4.</w:t>
      </w:r>
      <w:r w:rsidRPr="00547C4D">
        <w:rPr>
          <w:szCs w:val="24"/>
        </w:rPr>
        <w:t xml:space="preserve"> Instalacje i urządzenia przeciwpożarowe</w:t>
      </w:r>
    </w:p>
    <w:p w:rsidR="00FF3CF0" w:rsidRPr="00547C4D" w:rsidRDefault="00FF3CF0" w:rsidP="00FF3CF0">
      <w:pPr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Stosowanie stałych urządzeń gaśniczych, związanych na stałe z obiektem, zawierających zapas środka gaśniczego i uruchamianych samoczynnie we wczesnej fazie pożaru – nie wymagane 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Stosowanie stałych urządzeń gaśniczych wodnych – </w:t>
      </w:r>
      <w:r>
        <w:rPr>
          <w:szCs w:val="24"/>
        </w:rPr>
        <w:t xml:space="preserve">nie </w:t>
      </w:r>
      <w:r w:rsidRPr="00547C4D">
        <w:rPr>
          <w:szCs w:val="24"/>
        </w:rPr>
        <w:t xml:space="preserve">wymagane 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Stosowanie systemu sygnalizacji pożarowej, obejmującego urządzenia sygnalizacyjno-alarmowe, służące do samoczynnego wykrywania i przekazywania informacji o pożarze – nie jest wymagane.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>Stosowanie dźwiękowego systemu ostrzegawczego, umożliwiającego rozgłaszanie sygnałów ostrzegawczych i komunikatów głosowych dla potrzeb bezpieczeństwa osób przebywających w budynku, nadawanych automatycznie – nie jest wymagane.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</w:p>
    <w:p w:rsidR="00FF3CF0" w:rsidRPr="00547C4D" w:rsidRDefault="00FF3CF0" w:rsidP="00FF3CF0">
      <w:pPr>
        <w:pStyle w:val="Nagwek5"/>
        <w:tabs>
          <w:tab w:val="left" w:pos="330"/>
        </w:tabs>
        <w:ind w:left="330"/>
        <w:rPr>
          <w:szCs w:val="24"/>
        </w:rPr>
      </w:pPr>
      <w:r>
        <w:rPr>
          <w:szCs w:val="24"/>
          <w:u w:val="none"/>
        </w:rPr>
        <w:t>1</w:t>
      </w:r>
      <w:r w:rsidRPr="00547C4D">
        <w:rPr>
          <w:szCs w:val="24"/>
          <w:u w:val="none"/>
        </w:rPr>
        <w:t>.5</w:t>
      </w:r>
      <w:r w:rsidRPr="00547C4D">
        <w:rPr>
          <w:szCs w:val="24"/>
        </w:rPr>
        <w:t xml:space="preserve"> Wyposażenie obiektu w podręczny sprzęt gaśniczy</w:t>
      </w:r>
    </w:p>
    <w:p w:rsidR="00FF3CF0" w:rsidRPr="00547C4D" w:rsidRDefault="00FF3CF0" w:rsidP="00FF3CF0">
      <w:pPr>
        <w:rPr>
          <w:sz w:val="24"/>
          <w:szCs w:val="24"/>
        </w:rPr>
      </w:pP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Jedna jednostka masy środka gaśniczego </w:t>
      </w:r>
      <w:smartTag w:uri="urn:schemas-microsoft-com:office:smarttags" w:element="metricconverter">
        <w:smartTagPr>
          <w:attr w:name="ProductID" w:val="2 kg"/>
        </w:smartTagPr>
        <w:r w:rsidRPr="00547C4D">
          <w:rPr>
            <w:szCs w:val="24"/>
          </w:rPr>
          <w:t>2 kg</w:t>
        </w:r>
      </w:smartTag>
      <w:r w:rsidRPr="00547C4D">
        <w:rPr>
          <w:szCs w:val="24"/>
        </w:rPr>
        <w:t xml:space="preserve"> (lub 3 dm</w:t>
      </w:r>
      <w:r w:rsidRPr="00547C4D">
        <w:rPr>
          <w:szCs w:val="24"/>
          <w:vertAlign w:val="superscript"/>
        </w:rPr>
        <w:t>3</w:t>
      </w:r>
      <w:r w:rsidRPr="00547C4D">
        <w:rPr>
          <w:szCs w:val="24"/>
        </w:rPr>
        <w:t xml:space="preserve">) zawartego w gaśnicach powinna przypadać na każde </w:t>
      </w:r>
      <w:smartTag w:uri="urn:schemas-microsoft-com:office:smarttags" w:element="metricconverter">
        <w:smartTagPr>
          <w:attr w:name="ProductID" w:val="100 m2"/>
        </w:smartTagPr>
        <w:r w:rsidRPr="00547C4D">
          <w:rPr>
            <w:szCs w:val="24"/>
          </w:rPr>
          <w:t>100 m2</w:t>
        </w:r>
      </w:smartTag>
      <w:r w:rsidRPr="00547C4D">
        <w:rPr>
          <w:szCs w:val="24"/>
        </w:rPr>
        <w:t xml:space="preserve"> powierzchni wewnętrznej.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lastRenderedPageBreak/>
        <w:t xml:space="preserve">Szczegóły wyposażenia ilościowego i jakościowego w Instrukcji Bezpieczeństwa Pożarowego. </w:t>
      </w:r>
    </w:p>
    <w:p w:rsidR="00FF3CF0" w:rsidRDefault="00FF3CF0" w:rsidP="00FF3CF0">
      <w:pPr>
        <w:pStyle w:val="Tekstpodstawowy"/>
        <w:tabs>
          <w:tab w:val="clear" w:pos="0"/>
          <w:tab w:val="left" w:pos="426"/>
        </w:tabs>
        <w:ind w:left="709"/>
        <w:rPr>
          <w:szCs w:val="24"/>
        </w:rPr>
      </w:pPr>
    </w:p>
    <w:p w:rsidR="00FF3CF0" w:rsidRPr="00547C4D" w:rsidRDefault="00FF3CF0" w:rsidP="00FF3CF0">
      <w:pPr>
        <w:pStyle w:val="Nagwek5"/>
        <w:tabs>
          <w:tab w:val="left" w:pos="330"/>
        </w:tabs>
        <w:ind w:left="330"/>
        <w:rPr>
          <w:szCs w:val="24"/>
        </w:rPr>
      </w:pPr>
      <w:r>
        <w:rPr>
          <w:szCs w:val="24"/>
          <w:u w:val="none"/>
        </w:rPr>
        <w:t>1</w:t>
      </w:r>
      <w:r w:rsidRPr="00547C4D">
        <w:rPr>
          <w:szCs w:val="24"/>
          <w:u w:val="none"/>
        </w:rPr>
        <w:t>.6.</w:t>
      </w:r>
      <w:r w:rsidRPr="00547C4D">
        <w:rPr>
          <w:szCs w:val="24"/>
        </w:rPr>
        <w:t xml:space="preserve"> Instalacje i urządzenia techniczne</w:t>
      </w:r>
    </w:p>
    <w:p w:rsidR="00FF3CF0" w:rsidRPr="00547C4D" w:rsidRDefault="00FF3CF0" w:rsidP="00FF3CF0">
      <w:pPr>
        <w:rPr>
          <w:sz w:val="24"/>
          <w:szCs w:val="24"/>
        </w:rPr>
      </w:pP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>Winny być dostosowane do funkcji i przeznaczenia obiektu tak , aby spełniały one wymagania warunków technicznych określonych w Polskich Normach i przepisach szczególnych .</w:t>
      </w:r>
    </w:p>
    <w:p w:rsidR="00FF3CF0" w:rsidRPr="00547C4D" w:rsidRDefault="00FF3CF0" w:rsidP="00FF3CF0">
      <w:pPr>
        <w:pStyle w:val="Tekstpodstawowy"/>
        <w:tabs>
          <w:tab w:val="clear" w:pos="0"/>
          <w:tab w:val="left" w:pos="426"/>
        </w:tabs>
        <w:ind w:left="709"/>
        <w:jc w:val="both"/>
        <w:rPr>
          <w:szCs w:val="24"/>
        </w:rPr>
      </w:pPr>
      <w:r w:rsidRPr="00547C4D">
        <w:rPr>
          <w:szCs w:val="24"/>
        </w:rPr>
        <w:t xml:space="preserve">Budynek wyposażyć w przeciwpożarowy wyłącznik prądu. </w:t>
      </w:r>
    </w:p>
    <w:p w:rsidR="00FF3CF0" w:rsidRPr="00547C4D" w:rsidRDefault="00FF3CF0" w:rsidP="00FF3CF0">
      <w:pPr>
        <w:pStyle w:val="Tekstpodstawowy2"/>
        <w:tabs>
          <w:tab w:val="left" w:pos="426"/>
        </w:tabs>
        <w:spacing w:line="240" w:lineRule="auto"/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 xml:space="preserve">Przeciwpożarowy wyłącznik prądu powinien być umieszczony w pobliżu głównego wejścia do obiektu lub złącza i odpowiednio oznakowany. </w:t>
      </w:r>
    </w:p>
    <w:p w:rsidR="00FF3CF0" w:rsidRPr="00547C4D" w:rsidRDefault="00FF3CF0" w:rsidP="00FF3CF0">
      <w:pPr>
        <w:pStyle w:val="Tekstpodstawowy2"/>
        <w:tabs>
          <w:tab w:val="left" w:pos="426"/>
        </w:tabs>
        <w:spacing w:line="240" w:lineRule="auto"/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 xml:space="preserve">Przeciwpożarowy wyłącznik prądu, jako odcinający dopływ prądu do wszystkich obwodów,    z wyjątkiem obwodów zasilających instalacje i urządzenia, których funkcjonowanie jest niezbędne podczas pożaru. </w:t>
      </w:r>
    </w:p>
    <w:p w:rsidR="00FF3CF0" w:rsidRPr="00547C4D" w:rsidRDefault="00FF3CF0" w:rsidP="00FF3CF0">
      <w:pPr>
        <w:pStyle w:val="Tekstpodstawowy2"/>
        <w:tabs>
          <w:tab w:val="left" w:pos="426"/>
        </w:tabs>
        <w:spacing w:line="240" w:lineRule="auto"/>
        <w:ind w:left="709"/>
        <w:jc w:val="both"/>
        <w:rPr>
          <w:sz w:val="24"/>
          <w:szCs w:val="24"/>
        </w:rPr>
      </w:pPr>
      <w:r w:rsidRPr="00547C4D">
        <w:rPr>
          <w:sz w:val="24"/>
          <w:szCs w:val="24"/>
        </w:rPr>
        <w:t xml:space="preserve">Odcięcie dopływu prądu przeciwpożarowym wyłącznikiem nie może powodować samoczynnego załączenia drugiego źródła energii elektrycznej, w tym zespołu prądotwórczego, z wyjątkiem źródła zasilającego oświetlenie awaryjne, jeżeli występuje ono w budynku. </w:t>
      </w:r>
    </w:p>
    <w:p w:rsidR="00FF3CF0" w:rsidRPr="00547C4D" w:rsidRDefault="00FF3CF0" w:rsidP="00FF3CF0">
      <w:pPr>
        <w:tabs>
          <w:tab w:val="left" w:pos="426"/>
        </w:tabs>
        <w:ind w:left="709"/>
        <w:jc w:val="both"/>
        <w:rPr>
          <w:sz w:val="24"/>
          <w:szCs w:val="24"/>
        </w:rPr>
      </w:pPr>
    </w:p>
    <w:p w:rsidR="00FF3CF0" w:rsidRPr="001105D2" w:rsidRDefault="00FF3CF0" w:rsidP="00FF3CF0">
      <w:pPr>
        <w:pStyle w:val="Tekstpodstawowy2"/>
        <w:tabs>
          <w:tab w:val="left" w:pos="426"/>
        </w:tabs>
        <w:spacing w:line="240" w:lineRule="auto"/>
        <w:ind w:left="709"/>
        <w:jc w:val="both"/>
        <w:rPr>
          <w:sz w:val="24"/>
          <w:szCs w:val="24"/>
        </w:rPr>
      </w:pPr>
      <w:r w:rsidRPr="001105D2">
        <w:rPr>
          <w:sz w:val="24"/>
          <w:szCs w:val="24"/>
        </w:rPr>
        <w:t xml:space="preserve">Przewody i kable wraz z zamocowaniami stosowane w systemach zasilania i sterowania urządzeniami służącymi ochronie przeciwpożarowej powinny zapewniać ciągłość dostawy energii elektrycznej w warunkach pożaru przez wymagany czas działania urządzenia przeciwpożarowego, jednak nie mniejszy niż 90 minut. </w:t>
      </w:r>
    </w:p>
    <w:p w:rsidR="00880EC8" w:rsidRDefault="00880EC8" w:rsidP="00F2744D"/>
    <w:p w:rsidR="00F2744D" w:rsidRDefault="00F2744D" w:rsidP="00F2744D"/>
    <w:p w:rsidR="00F2744D" w:rsidRDefault="00F2744D" w:rsidP="00F2744D"/>
    <w:p w:rsidR="00F2744D" w:rsidRDefault="00F2744D" w:rsidP="00F274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Projektant</w:t>
      </w:r>
      <w:bookmarkStart w:id="0" w:name="_GoBack"/>
      <w:bookmarkEnd w:id="0"/>
    </w:p>
    <w:sectPr w:rsidR="00F2744D" w:rsidSect="00F2744D">
      <w:headerReference w:type="default" r:id="rId8"/>
      <w:pgSz w:w="11906" w:h="16838"/>
      <w:pgMar w:top="1417" w:right="1417" w:bottom="1417" w:left="1417" w:header="708" w:footer="708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85E" w:rsidRDefault="0071585E" w:rsidP="00F2744D">
      <w:r>
        <w:separator/>
      </w:r>
    </w:p>
  </w:endnote>
  <w:endnote w:type="continuationSeparator" w:id="0">
    <w:p w:rsidR="0071585E" w:rsidRDefault="0071585E" w:rsidP="00F27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85E" w:rsidRDefault="0071585E" w:rsidP="00F2744D">
      <w:r>
        <w:separator/>
      </w:r>
    </w:p>
  </w:footnote>
  <w:footnote w:type="continuationSeparator" w:id="0">
    <w:p w:rsidR="0071585E" w:rsidRDefault="0071585E" w:rsidP="00F27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468039"/>
      <w:docPartObj>
        <w:docPartGallery w:val="Page Numbers (Top of Page)"/>
        <w:docPartUnique/>
      </w:docPartObj>
    </w:sdtPr>
    <w:sdtContent>
      <w:p w:rsidR="00F2744D" w:rsidRDefault="00F2744D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65</w:t>
        </w:r>
        <w:r>
          <w:fldChar w:fldCharType="end"/>
        </w:r>
      </w:p>
    </w:sdtContent>
  </w:sdt>
  <w:p w:rsidR="00F2744D" w:rsidRDefault="00F274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0A7C07"/>
    <w:multiLevelType w:val="singleLevel"/>
    <w:tmpl w:val="C83E6C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CF0"/>
    <w:rsid w:val="0071585E"/>
    <w:rsid w:val="00880EC8"/>
    <w:rsid w:val="00F2744D"/>
    <w:rsid w:val="00FF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C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F3CF0"/>
    <w:pPr>
      <w:keepNext/>
      <w:numPr>
        <w:ilvl w:val="2"/>
        <w:numId w:val="1"/>
      </w:numPr>
      <w:outlineLvl w:val="2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F3CF0"/>
    <w:pPr>
      <w:keepNext/>
      <w:numPr>
        <w:ilvl w:val="4"/>
        <w:numId w:val="1"/>
      </w:numPr>
      <w:outlineLvl w:val="4"/>
    </w:pPr>
    <w:rPr>
      <w:i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F3C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F3CF0"/>
    <w:rPr>
      <w:rFonts w:ascii="Times New Roman" w:eastAsia="Times New Roman" w:hAnsi="Times New Roman" w:cs="Times New Roman"/>
      <w:i/>
      <w:sz w:val="24"/>
      <w:szCs w:val="20"/>
      <w:u w:val="single"/>
      <w:lang w:eastAsia="ar-SA"/>
    </w:rPr>
  </w:style>
  <w:style w:type="paragraph" w:styleId="Tekstpodstawowy">
    <w:name w:val="Body Text"/>
    <w:basedOn w:val="Normalny"/>
    <w:link w:val="TekstpodstawowyZnak"/>
    <w:rsid w:val="00FF3CF0"/>
    <w:pPr>
      <w:tabs>
        <w:tab w:val="left" w:pos="0"/>
      </w:tabs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3C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FF3CF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F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74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4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274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44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C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F3CF0"/>
    <w:pPr>
      <w:keepNext/>
      <w:numPr>
        <w:ilvl w:val="2"/>
        <w:numId w:val="1"/>
      </w:numPr>
      <w:outlineLvl w:val="2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F3CF0"/>
    <w:pPr>
      <w:keepNext/>
      <w:numPr>
        <w:ilvl w:val="4"/>
        <w:numId w:val="1"/>
      </w:numPr>
      <w:outlineLvl w:val="4"/>
    </w:pPr>
    <w:rPr>
      <w:i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F3C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F3CF0"/>
    <w:rPr>
      <w:rFonts w:ascii="Times New Roman" w:eastAsia="Times New Roman" w:hAnsi="Times New Roman" w:cs="Times New Roman"/>
      <w:i/>
      <w:sz w:val="24"/>
      <w:szCs w:val="20"/>
      <w:u w:val="single"/>
      <w:lang w:eastAsia="ar-SA"/>
    </w:rPr>
  </w:style>
  <w:style w:type="paragraph" w:styleId="Tekstpodstawowy">
    <w:name w:val="Body Text"/>
    <w:basedOn w:val="Normalny"/>
    <w:link w:val="TekstpodstawowyZnak"/>
    <w:rsid w:val="00FF3CF0"/>
    <w:pPr>
      <w:tabs>
        <w:tab w:val="left" w:pos="0"/>
      </w:tabs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3C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FF3CF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F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74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4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274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44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2016-12-07T12:22:00Z</cp:lastPrinted>
  <dcterms:created xsi:type="dcterms:W3CDTF">2016-12-07T12:22:00Z</dcterms:created>
  <dcterms:modified xsi:type="dcterms:W3CDTF">2016-12-07T12:22:00Z</dcterms:modified>
</cp:coreProperties>
</file>